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color w:val="236757"/>
          <w:sz w:val="18"/>
          <w:szCs w:val="18"/>
        </w:rPr>
        <w:t xml:space="preserve">VIOLATIONFLOW</w:t>
      </w:r>
    </w:p>
    <w:p>
      <w:pPr>
        <w:pBdr>
          <w:bottom w:val="single" w:color="E7E9E8" w:sz="4" w:space="6"/>
        </w:pBdr>
        <w:spacing w:after="360"/>
      </w:pPr>
      <w:r>
        <w:rPr>
          <w:b/>
          <w:bCs/>
          <w:color w:val="1C2327"/>
          <w:sz w:val="40"/>
          <w:szCs w:val="40"/>
        </w:rPr>
        <w:t xml:space="preserve">Digital Retention Checklist for Boards Without an Office</w:t>
      </w:r>
    </w:p>
    <w:p>
      <w:pPr>
        <w:spacing w:after="160"/>
      </w:pPr>
      <w:r>
        <w:rPr>
          <w:color w:val="4E525A"/>
          <w:sz w:val="22"/>
          <w:szCs w:val="22"/>
        </w:rPr>
        <w:t xml:space="preserve">Best-practice checklist for keeping HOA enforcement records intact through officer transitions when there is no management office. This is industry guidance for volunteer boards, not a legal requirement.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1. One source of truth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Choose a single home for all enforcement records — one shared drive or one tracking platform, not a patchwork of both.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Use association-owned accounts. No records held only in a board member's personal email, laptop, or phone.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File as you go: notice, photo, owner reply, hearing decision go into the case record the day they happen.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Name files so a stranger can find them: LOT-ADDRESS_TYPE_DATE (e.g. 114-Elm_fence-notice_2026-07-16).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2. Officer transition handoff (every election or resignation)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Put the handoff on the meeting agenda as its own item.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Transfer account credentials to the incoming officer and revoke the outgoing officer's personal access.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Export a dated snapshot of open cases and the fine ledger and store it with the minutes of that meeting.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Walk the incoming officer through every open case — the file is never as self-explanatory as it looks.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3. Before any platform change (new software, canceled subscription)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Confirm the outgoing platform exports data in a spreadsheet-readable format (CSV/Excel), not only PDF.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Export the complete history — cases, notices, ledger, attachments — BEFORE canceling or migrating anything.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Open the export and verify it is complete before letting the old subscription lapse.</w:t>
      </w:r>
    </w:p>
    <w:p>
      <w:pPr>
        <w:spacing w:after="140" w:before="280"/>
      </w:pPr>
      <w:r>
        <w:rPr>
          <w:b/>
          <w:bCs/>
          <w:color w:val="1C2327"/>
          <w:sz w:val="26"/>
          <w:szCs w:val="26"/>
        </w:rPr>
        <w:t xml:space="preserve">4. Once a year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Adopt or reaffirm a written retention policy (required in Texas for associations over 14 lots).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Purge only what the policy allows — and nothing related to a threatened or pending dispute (litigation hold).</w:t>
      </w:r>
    </w:p>
    <w:p>
      <w:pPr>
        <w:spacing w:after="120"/>
      </w:pPr>
      <w:r>
        <w:rPr>
          <w:color w:val="1C2327"/>
          <w:sz w:val="22"/>
          <w:szCs w:val="22"/>
        </w:rPr>
        <w:t xml:space="preserve">☐  Test a restore: pull up a three-year-old closed case and confirm you could hand the full file to counsel tomorrow.</w:t>
      </w:r>
    </w:p>
    <w:p>
      <w:pPr>
        <w:spacing w:after="60"/>
      </w:pPr>
      <w:r>
        <w:rPr>
          <w:b/>
          <w:bCs/>
          <w:color w:val="1C2327"/>
          <w:sz w:val="22"/>
          <w:szCs w:val="22"/>
        </w:rPr>
        <w:t xml:space="preserve">Adopted by the board on:  </w:t>
      </w:r>
      <w:r>
        <w:rPr>
          <w:color w:val="4E525A"/>
          <w:sz w:val="22"/>
          <w:szCs w:val="22"/>
        </w:rPr>
        <w:t xml:space="preserve">________________________________________________________</w:t>
      </w:r>
    </w:p>
    <w:p>
      <w:pPr>
        <w:spacing w:after="140"/>
      </w:pPr>
      <w:r>
        <w:rPr>
          <w:i/>
          <w:iCs/>
          <w:color w:val="4E525A"/>
          <w:sz w:val="17"/>
          <w:szCs w:val="17"/>
        </w:rPr>
        <w:t xml:space="preserve">Date</w:t>
      </w:r>
    </w:p>
    <w:p>
      <w:pPr>
        <w:spacing w:after="40" w:before="320"/>
      </w:pPr>
      <w:r>
        <w:rPr>
          <w:color w:val="1C2327"/>
          <w:sz w:val="22"/>
          <w:szCs w:val="22"/>
        </w:rPr>
        <w:t xml:space="preserve">________________________________________</w:t>
      </w:r>
    </w:p>
    <w:p>
      <w:pPr>
        <w:spacing w:after="160"/>
      </w:pPr>
      <w:r>
        <w:rPr>
          <w:color w:val="4E525A"/>
          <w:sz w:val="18"/>
          <w:szCs w:val="18"/>
        </w:rPr>
        <w:t xml:space="preserve">Board president or secretary</w:t>
      </w:r>
    </w:p>
    <w:p>
      <w:pPr>
        <w:spacing w:before="480"/>
        <w:jc w:val="center"/>
      </w:pPr>
      <w:r>
        <w:rPr>
          <w:color w:val="4E525A"/>
          <w:sz w:val="16"/>
          <w:szCs w:val="16"/>
        </w:rPr>
        <w:t xml:space="preserve">ViolationFlow — free template from https://violationflow.homes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2026-07-16T21:56:25.382Z</dcterms:created>
  <dcterms:modified xsi:type="dcterms:W3CDTF">2026-07-16T21:56:25.382Z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