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236757"/>
          <w:sz w:val="18"/>
          <w:szCs w:val="18"/>
        </w:rPr>
        <w:t xml:space="preserve">VIOLATIONFLOW</w:t>
      </w:r>
    </w:p>
    <w:p>
      <w:pPr>
        <w:pBdr>
          <w:bottom w:val="single" w:color="E7E9E8" w:sz="4" w:space="6"/>
        </w:pBdr>
        <w:spacing w:after="360"/>
      </w:pPr>
      <w:r>
        <w:rPr>
          <w:b/>
          <w:bCs/>
          <w:color w:val="1C2327"/>
          <w:sz w:val="40"/>
          <w:szCs w:val="40"/>
        </w:rPr>
        <w:t xml:space="preserve">HOA Fine Hearing: Hearing-Day Checklist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Case details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Association name: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Case number: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Lot / property address: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Hearing date: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Hearing body: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Board of directors, adjudicatory panel, or independent committee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Before the hearing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Confirm the hearing notice went out within your state's window and per your governing documents; keep proof of delivery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Confirm the cure period expired without the violation being cured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Confirm who is serving and that each person is eligible (Florida: no officers, directors, employees, or their spouse, parent, child, brother, or sister)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Ask anyone with a personal stake in the dispute to recuse, and record the recusal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Assemble the evidence packet: notices sent, proof of delivery, dated photos, correspondence, the covenant or rule cited, the adopted fine schedule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Provide the owner any records your state or documents require (Texas: late production triggers an automatic 15-day postponement)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Confirm quorum under your bylaws or committee charter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At the hearing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Open by stating the charge and citing the specific covenant or rule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Present the association's evidence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Give the owner uninterrupted time to respond, present evidence, and call witnesses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Allow counsel or a representative where the owner brings one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Record attendance, recusals, exhibits presented, and all motions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After the hearing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Take a formal vote and record the count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Send the written decision within your deadline (Virginia: 7 days; California: within 14 days of the action)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File the notice, packet, minutes, vote, and decision letter in the case record</w:t>
      </w:r>
    </w:p>
    <w:p>
      <w:pPr>
        <w:spacing w:before="480"/>
        <w:jc w:val="center"/>
      </w:pPr>
      <w:r>
        <w:rPr>
          <w:color w:val="4E525A"/>
          <w:sz w:val="16"/>
          <w:szCs w:val="16"/>
        </w:rPr>
        <w:t xml:space="preserve">ViolationFlow — free template from https://violationflow.homes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2026-07-16T21:56:25.296Z</dcterms:created>
  <dcterms:modified xsi:type="dcterms:W3CDTF">2026-07-16T21:56:25.296Z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