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color w:val="236757"/>
          <w:sz w:val="18"/>
          <w:szCs w:val="18"/>
        </w:rPr>
        <w:t xml:space="preserve">VIOLATIONFLOW</w:t>
      </w:r>
    </w:p>
    <w:p>
      <w:pPr>
        <w:pBdr>
          <w:bottom w:val="single" w:color="E7E9E8" w:sz="4" w:space="6"/>
        </w:pBdr>
        <w:spacing w:after="360"/>
      </w:pPr>
      <w:r>
        <w:rPr>
          <w:b/>
          <w:bCs/>
          <w:color w:val="1C2327"/>
          <w:sz w:val="40"/>
          <w:szCs w:val="40"/>
        </w:rPr>
        <w:t xml:space="preserve">Four-Stage HOA Escalation Sequence Checklist</w:t>
      </w:r>
    </w:p>
    <w:p>
      <w:pPr>
        <w:spacing w:after="160"/>
      </w:pPr>
      <w:r>
        <w:rPr>
          <w:color w:val="4E525A"/>
          <w:sz w:val="22"/>
          <w:szCs w:val="22"/>
        </w:rPr>
        <w:t xml:space="preserve">Adapt the cure windows and delivery methods to your state and governing documents, adopt the dollar amounts by board resolution, and apply the sequence identically to every lot. All dollar amounts shown are illustrative.</w:t>
      </w:r>
    </w:p>
    <w:p>
      <w:pPr>
        <w:spacing w:after="60"/>
      </w:pPr>
      <w:r>
        <w:rPr>
          <w:b/>
          <w:bCs/>
          <w:color w:val="1C2327"/>
          <w:sz w:val="22"/>
          <w:szCs w:val="22"/>
        </w:rPr>
        <w:t xml:space="preserve">Association name:  </w:t>
      </w:r>
      <w:r>
        <w:rPr>
          <w:color w:val="4E525A"/>
          <w:sz w:val="22"/>
          <w:szCs w:val="22"/>
        </w:rPr>
        <w:t xml:space="preserve">________________________________________________________</w:t>
      </w:r>
    </w:p>
    <w:p>
      <w:pPr>
        <w:spacing w:after="60"/>
      </w:pPr>
      <w:r>
        <w:rPr>
          <w:b/>
          <w:bCs/>
          <w:color w:val="1C2327"/>
          <w:sz w:val="22"/>
          <w:szCs w:val="22"/>
        </w:rPr>
        <w:t xml:space="preserve">Lot / property address:  </w:t>
      </w:r>
      <w:r>
        <w:rPr>
          <w:color w:val="4E525A"/>
          <w:sz w:val="22"/>
          <w:szCs w:val="22"/>
        </w:rPr>
        <w:t xml:space="preserve">________________________________________________________</w:t>
      </w:r>
    </w:p>
    <w:p>
      <w:pPr>
        <w:spacing w:after="60"/>
      </w:pPr>
      <w:r>
        <w:rPr>
          <w:b/>
          <w:bCs/>
          <w:color w:val="1C2327"/>
          <w:sz w:val="22"/>
          <w:szCs w:val="22"/>
        </w:rPr>
        <w:t xml:space="preserve">Violation and governing provision:  </w:t>
      </w:r>
      <w:r>
        <w:rPr>
          <w:color w:val="4E525A"/>
          <w:sz w:val="22"/>
          <w:szCs w:val="22"/>
        </w:rPr>
        <w:t xml:space="preserve">________________________________________________________</w:t>
      </w:r>
    </w:p>
    <w:p>
      <w:pPr>
        <w:spacing w:after="140" w:before="280"/>
      </w:pPr>
      <w:r>
        <w:rPr>
          <w:b/>
          <w:bCs/>
          <w:color w:val="1C2327"/>
          <w:sz w:val="26"/>
          <w:szCs w:val="26"/>
        </w:rPr>
        <w:t xml:space="preserve">Stage 1 — Courtesy notice ($0)</w:t>
      </w:r>
    </w:p>
    <w:p>
      <w:pPr>
        <w:spacing w:after="120"/>
      </w:pPr>
      <w:r>
        <w:rPr>
          <w:color w:val="1C2327"/>
          <w:sz w:val="22"/>
          <w:szCs w:val="22"/>
        </w:rPr>
        <w:t xml:space="preserve">☐  First observation of the violation documented with date</w:t>
      </w:r>
    </w:p>
    <w:p>
      <w:pPr>
        <w:spacing w:after="120"/>
      </w:pPr>
      <w:r>
        <w:rPr>
          <w:color w:val="1C2327"/>
          <w:sz w:val="22"/>
          <w:szCs w:val="22"/>
        </w:rPr>
        <w:t xml:space="preserve">☐  Dated written notice sent naming the violation, the governing provision, and exactly what cures it</w:t>
      </w:r>
    </w:p>
    <w:p>
      <w:pPr>
        <w:spacing w:after="120"/>
      </w:pPr>
      <w:r>
        <w:rPr>
          <w:color w:val="1C2327"/>
          <w:sz w:val="22"/>
          <w:szCs w:val="22"/>
        </w:rPr>
        <w:t xml:space="preserve">☐  If cured: case closed and cure date recorded</w:t>
      </w:r>
    </w:p>
    <w:p>
      <w:pPr>
        <w:spacing w:after="60"/>
      </w:pPr>
      <w:r>
        <w:rPr>
          <w:b/>
          <w:bCs/>
          <w:color w:val="1C2327"/>
          <w:sz w:val="22"/>
          <w:szCs w:val="22"/>
        </w:rPr>
        <w:t xml:space="preserve">Stage 1 cure window (days):  </w:t>
      </w:r>
      <w:r>
        <w:rPr>
          <w:color w:val="4E525A"/>
          <w:sz w:val="22"/>
          <w:szCs w:val="22"/>
        </w:rPr>
        <w:t xml:space="preserve">________________________________________________________</w:t>
      </w:r>
    </w:p>
    <w:p>
      <w:pPr>
        <w:spacing w:after="140"/>
      </w:pPr>
      <w:r>
        <w:rPr>
          <w:i/>
          <w:iCs/>
          <w:color w:val="4E525A"/>
          <w:sz w:val="17"/>
          <w:szCs w:val="17"/>
        </w:rPr>
        <w:t xml:space="preserve">Suggested: 14 days</w:t>
      </w:r>
    </w:p>
    <w:p>
      <w:pPr>
        <w:spacing w:after="60"/>
      </w:pPr>
      <w:r>
        <w:rPr>
          <w:b/>
          <w:bCs/>
          <w:color w:val="1C2327"/>
          <w:sz w:val="22"/>
          <w:szCs w:val="22"/>
        </w:rPr>
        <w:t xml:space="preserve">Stage 1 notice sent (date and method):  </w:t>
      </w:r>
      <w:r>
        <w:rPr>
          <w:color w:val="4E525A"/>
          <w:sz w:val="22"/>
          <w:szCs w:val="22"/>
        </w:rPr>
        <w:t xml:space="preserve">________________________________________________________</w:t>
      </w:r>
    </w:p>
    <w:p>
      <w:pPr>
        <w:spacing w:after="140" w:before="280"/>
      </w:pPr>
      <w:r>
        <w:rPr>
          <w:b/>
          <w:bCs/>
          <w:color w:val="1C2327"/>
          <w:sz w:val="26"/>
          <w:szCs w:val="26"/>
        </w:rPr>
        <w:t xml:space="preserve">Stage 2 — First formal notice ($0)</w:t>
      </w:r>
    </w:p>
    <w:p>
      <w:pPr>
        <w:spacing w:after="120"/>
      </w:pPr>
      <w:r>
        <w:rPr>
          <w:color w:val="1C2327"/>
          <w:sz w:val="22"/>
          <w:szCs w:val="22"/>
        </w:rPr>
        <w:t xml:space="preserve">☐  Violation still open after the Stage 1 window</w:t>
      </w:r>
    </w:p>
    <w:p>
      <w:pPr>
        <w:spacing w:after="120"/>
      </w:pPr>
      <w:r>
        <w:rPr>
          <w:color w:val="1C2327"/>
          <w:sz w:val="22"/>
          <w:szCs w:val="22"/>
        </w:rPr>
        <w:t xml:space="preserve">☐  Written notice sent by the delivery method your statute requires (certified mail in TX and CO)</w:t>
      </w:r>
    </w:p>
    <w:p>
      <w:pPr>
        <w:spacing w:after="120"/>
      </w:pPr>
      <w:r>
        <w:rPr>
          <w:color w:val="1C2327"/>
          <w:sz w:val="22"/>
          <w:szCs w:val="22"/>
        </w:rPr>
        <w:t xml:space="preserve">☐  Notice restates the violation and states the next step and possible fine</w:t>
      </w:r>
    </w:p>
    <w:p>
      <w:pPr>
        <w:spacing w:after="120"/>
      </w:pPr>
      <w:r>
        <w:rPr>
          <w:color w:val="1C2327"/>
          <w:sz w:val="22"/>
          <w:szCs w:val="22"/>
        </w:rPr>
        <w:t xml:space="preserve">☐  If cured: case closed — several states bar a fine once cured</w:t>
      </w:r>
    </w:p>
    <w:p>
      <w:pPr>
        <w:spacing w:after="60"/>
      </w:pPr>
      <w:r>
        <w:rPr>
          <w:b/>
          <w:bCs/>
          <w:color w:val="1C2327"/>
          <w:sz w:val="22"/>
          <w:szCs w:val="22"/>
        </w:rPr>
        <w:t xml:space="preserve">Stage 2 cure window (days):  </w:t>
      </w:r>
      <w:r>
        <w:rPr>
          <w:color w:val="4E525A"/>
          <w:sz w:val="22"/>
          <w:szCs w:val="22"/>
        </w:rPr>
        <w:t xml:space="preserve">________________________________________________________</w:t>
      </w:r>
    </w:p>
    <w:p>
      <w:pPr>
        <w:spacing w:after="140"/>
      </w:pPr>
      <w:r>
        <w:rPr>
          <w:i/>
          <w:iCs/>
          <w:color w:val="4E525A"/>
          <w:sz w:val="17"/>
          <w:szCs w:val="17"/>
        </w:rPr>
        <w:t xml:space="preserve">14-30 days, matching your statute's minimum</w:t>
      </w:r>
    </w:p>
    <w:p>
      <w:pPr>
        <w:spacing w:after="60"/>
      </w:pPr>
      <w:r>
        <w:rPr>
          <w:b/>
          <w:bCs/>
          <w:color w:val="1C2327"/>
          <w:sz w:val="22"/>
          <w:szCs w:val="22"/>
        </w:rPr>
        <w:t xml:space="preserve">Stage 2 notice sent (date and method):  </w:t>
      </w:r>
      <w:r>
        <w:rPr>
          <w:color w:val="4E525A"/>
          <w:sz w:val="22"/>
          <w:szCs w:val="22"/>
        </w:rPr>
        <w:t xml:space="preserve">________________________________________________________</w:t>
      </w:r>
    </w:p>
    <w:p>
      <w:pPr>
        <w:spacing w:after="140" w:before="280"/>
      </w:pPr>
      <w:r>
        <w:rPr>
          <w:b/>
          <w:bCs/>
          <w:color w:val="1C2327"/>
          <w:sz w:val="26"/>
          <w:szCs w:val="26"/>
        </w:rPr>
        <w:t xml:space="preserve">Stage 3 — Second notice / intent to fine</w:t>
      </w:r>
    </w:p>
    <w:p>
      <w:pPr>
        <w:spacing w:after="120"/>
      </w:pPr>
      <w:r>
        <w:rPr>
          <w:color w:val="1C2327"/>
          <w:sz w:val="22"/>
          <w:szCs w:val="22"/>
        </w:rPr>
        <w:t xml:space="preserve">☐  Violation still open after the Stage 2 window</w:t>
      </w:r>
    </w:p>
    <w:p>
      <w:pPr>
        <w:spacing w:after="120"/>
      </w:pPr>
      <w:r>
        <w:rPr>
          <w:color w:val="1C2327"/>
          <w:sz w:val="22"/>
          <w:szCs w:val="22"/>
        </w:rPr>
        <w:t xml:space="preserve">☐  Notice of intent to fine sent stating the proposed amount, the owner's hearing rights, and the deadline to request or attend the hearing</w:t>
      </w:r>
    </w:p>
    <w:p>
      <w:pPr>
        <w:spacing w:after="60"/>
      </w:pPr>
      <w:r>
        <w:rPr>
          <w:b/>
          <w:bCs/>
          <w:color w:val="1C2327"/>
          <w:sz w:val="22"/>
          <w:szCs w:val="22"/>
        </w:rPr>
        <w:t xml:space="preserve">Proposed fine amount:  </w:t>
      </w:r>
      <w:r>
        <w:rPr>
          <w:color w:val="4E525A"/>
          <w:sz w:val="22"/>
          <w:szCs w:val="22"/>
        </w:rPr>
        <w:t xml:space="preserve">________________________________________________________</w:t>
      </w:r>
    </w:p>
    <w:p>
      <w:pPr>
        <w:spacing w:after="140"/>
      </w:pPr>
      <w:r>
        <w:rPr>
          <w:i/>
          <w:iCs/>
          <w:color w:val="4E525A"/>
          <w:sz w:val="17"/>
          <w:szCs w:val="17"/>
        </w:rPr>
        <w:t xml:space="preserve">Example only: $50 — adopt your own schedule by board resolution</w:t>
      </w:r>
    </w:p>
    <w:p>
      <w:pPr>
        <w:spacing w:after="60"/>
      </w:pPr>
      <w:r>
        <w:rPr>
          <w:b/>
          <w:bCs/>
          <w:color w:val="1C2327"/>
          <w:sz w:val="22"/>
          <w:szCs w:val="22"/>
        </w:rPr>
        <w:t xml:space="preserve">Stage 3 cure window:  </w:t>
      </w:r>
      <w:r>
        <w:rPr>
          <w:color w:val="4E525A"/>
          <w:sz w:val="22"/>
          <w:szCs w:val="22"/>
        </w:rPr>
        <w:t xml:space="preserve">________________________________________________________</w:t>
      </w:r>
    </w:p>
    <w:p>
      <w:pPr>
        <w:spacing w:after="140"/>
      </w:pPr>
      <w:r>
        <w:rPr>
          <w:i/>
          <w:iCs/>
          <w:color w:val="4E525A"/>
          <w:sz w:val="17"/>
          <w:szCs w:val="17"/>
        </w:rPr>
        <w:t xml:space="preserve">Per statute; in some states (e.g., California) the owner may still cure before the hearing to avoid the fine</w:t>
      </w:r>
    </w:p>
    <w:p>
      <w:pPr>
        <w:spacing w:after="60"/>
      </w:pPr>
      <w:r>
        <w:rPr>
          <w:b/>
          <w:bCs/>
          <w:color w:val="1C2327"/>
          <w:sz w:val="22"/>
          <w:szCs w:val="22"/>
        </w:rPr>
        <w:t xml:space="preserve">Stage 3 notice sent (date and method):  </w:t>
      </w:r>
      <w:r>
        <w:rPr>
          <w:color w:val="4E525A"/>
          <w:sz w:val="22"/>
          <w:szCs w:val="22"/>
        </w:rPr>
        <w:t xml:space="preserve">________________________________________________________</w:t>
      </w:r>
    </w:p>
    <w:p>
      <w:pPr>
        <w:spacing w:after="140" w:before="280"/>
      </w:pPr>
      <w:r>
        <w:rPr>
          <w:b/>
          <w:bCs/>
          <w:color w:val="1C2327"/>
          <w:sz w:val="26"/>
          <w:szCs w:val="26"/>
        </w:rPr>
        <w:t xml:space="preserve">Stage 4 — Hearing and fine decision</w:t>
      </w:r>
    </w:p>
    <w:p>
      <w:pPr>
        <w:spacing w:after="120"/>
      </w:pPr>
      <w:r>
        <w:rPr>
          <w:color w:val="1C2327"/>
          <w:sz w:val="22"/>
          <w:szCs w:val="22"/>
        </w:rPr>
        <w:t xml:space="preserve">☐  Hearing noticed per statute (FL and VA: at least 14 days ahead; CA: at least 10)</w:t>
      </w:r>
    </w:p>
    <w:p>
      <w:pPr>
        <w:spacing w:after="120"/>
      </w:pPr>
      <w:r>
        <w:rPr>
          <w:color w:val="1C2327"/>
          <w:sz w:val="22"/>
          <w:szCs w:val="22"/>
        </w:rPr>
        <w:t xml:space="preserve">☐  Hearing held before the body your state requires (FL: a committee of 3+ non-officers, directors, or employees)</w:t>
      </w:r>
    </w:p>
    <w:p>
      <w:pPr>
        <w:spacing w:after="120"/>
      </w:pPr>
      <w:r>
        <w:rPr>
          <w:color w:val="1C2327"/>
          <w:sz w:val="22"/>
          <w:szCs w:val="22"/>
        </w:rPr>
        <w:t xml:space="preserve">☐  Attendance and decision recorded</w:t>
      </w:r>
    </w:p>
    <w:p>
      <w:pPr>
        <w:spacing w:after="120"/>
      </w:pPr>
      <w:r>
        <w:rPr>
          <w:color w:val="1C2327"/>
          <w:sz w:val="22"/>
          <w:szCs w:val="22"/>
        </w:rPr>
        <w:t xml:space="preserve">☐  Written decision delivered (CA: within 14 days; VA: within 7 days)</w:t>
      </w:r>
    </w:p>
    <w:p>
      <w:pPr>
        <w:spacing w:after="120"/>
      </w:pPr>
      <w:r>
        <w:rPr>
          <w:color w:val="1C2327"/>
          <w:sz w:val="22"/>
          <w:szCs w:val="22"/>
        </w:rPr>
        <w:t xml:space="preserve">☐  Fine posted to the ledger only after the decision is delivered</w:t>
      </w:r>
    </w:p>
    <w:p>
      <w:pPr>
        <w:spacing w:after="60"/>
      </w:pPr>
      <w:r>
        <w:rPr>
          <w:b/>
          <w:bCs/>
          <w:color w:val="1C2327"/>
          <w:sz w:val="22"/>
          <w:szCs w:val="22"/>
        </w:rPr>
        <w:t xml:space="preserve">Hearing date:  </w:t>
      </w:r>
      <w:r>
        <w:rPr>
          <w:color w:val="4E525A"/>
          <w:sz w:val="22"/>
          <w:szCs w:val="22"/>
        </w:rPr>
        <w:t xml:space="preserve">________________________________________________________</w:t>
      </w:r>
    </w:p>
    <w:p>
      <w:pPr>
        <w:spacing w:after="60"/>
      </w:pPr>
      <w:r>
        <w:rPr>
          <w:b/>
          <w:bCs/>
          <w:color w:val="1C2327"/>
          <w:sz w:val="22"/>
          <w:szCs w:val="22"/>
        </w:rPr>
        <w:t xml:space="preserve">Fine amount imposed:  </w:t>
      </w:r>
      <w:r>
        <w:rPr>
          <w:color w:val="4E525A"/>
          <w:sz w:val="22"/>
          <w:szCs w:val="22"/>
        </w:rPr>
        <w:t xml:space="preserve">________________________________________________________</w:t>
      </w:r>
    </w:p>
    <w:p>
      <w:pPr>
        <w:spacing w:after="140"/>
      </w:pPr>
      <w:r>
        <w:rPr>
          <w:i/>
          <w:iCs/>
          <w:color w:val="4E525A"/>
          <w:sz w:val="17"/>
          <w:szCs w:val="17"/>
        </w:rPr>
        <w:t xml:space="preserve">Example only: $100</w:t>
      </w:r>
    </w:p>
    <w:p>
      <w:pPr>
        <w:spacing w:after="60"/>
      </w:pPr>
      <w:r>
        <w:rPr>
          <w:b/>
          <w:bCs/>
          <w:color w:val="1C2327"/>
          <w:sz w:val="22"/>
          <w:szCs w:val="22"/>
        </w:rPr>
        <w:t xml:space="preserve">Decision delivered (date and method):  </w:t>
      </w:r>
      <w:r>
        <w:rPr>
          <w:color w:val="4E525A"/>
          <w:sz w:val="22"/>
          <w:szCs w:val="22"/>
        </w:rPr>
        <w:t xml:space="preserve">________________________________________________________</w:t>
      </w:r>
    </w:p>
    <w:p>
      <w:pPr>
        <w:spacing w:after="40" w:before="320"/>
      </w:pPr>
      <w:r>
        <w:rPr>
          <w:color w:val="1C2327"/>
          <w:sz w:val="22"/>
          <w:szCs w:val="22"/>
        </w:rPr>
        <w:t xml:space="preserve">________________________________________</w:t>
      </w:r>
    </w:p>
    <w:p>
      <w:pPr>
        <w:spacing w:after="160"/>
      </w:pPr>
      <w:r>
        <w:rPr>
          <w:color w:val="4E525A"/>
          <w:sz w:val="18"/>
          <w:szCs w:val="18"/>
        </w:rPr>
        <w:t xml:space="preserve">Completed by (board officer)</w:t>
      </w:r>
    </w:p>
    <w:p>
      <w:pPr>
        <w:spacing w:after="60"/>
      </w:pPr>
      <w:r>
        <w:rPr>
          <w:b/>
          <w:bCs/>
          <w:color w:val="1C2327"/>
          <w:sz w:val="22"/>
          <w:szCs w:val="22"/>
        </w:rPr>
        <w:t xml:space="preserve">Date:  </w:t>
      </w:r>
      <w:r>
        <w:rPr>
          <w:color w:val="4E525A"/>
          <w:sz w:val="22"/>
          <w:szCs w:val="22"/>
        </w:rPr>
        <w:t xml:space="preserve">________________________________________________________</w:t>
      </w:r>
    </w:p>
    <w:p>
      <w:pPr>
        <w:spacing w:before="480"/>
        <w:jc w:val="center"/>
      </w:pPr>
      <w:r>
        <w:rPr>
          <w:color w:val="4E525A"/>
          <w:sz w:val="16"/>
          <w:szCs w:val="16"/>
        </w:rPr>
        <w:t xml:space="preserve">ViolationFlow — free template from https://violationflow.homes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2026-07-16T21:56:25.102Z</dcterms:created>
  <dcterms:modified xsi:type="dcterms:W3CDTF">2026-07-16T21:56:25.102Z</dcterms:modified>
</cp:coreProperties>
</file>

<file path=docProps/custom.xml><?xml version="1.0" encoding="utf-8"?>
<Properties xmlns="http://schemas.openxmlformats.org/officeDocument/2006/custom-properties" xmlns:vt="http://schemas.openxmlformats.org/officeDocument/2006/docPropsVTypes"/>
</file>