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color w:val="236757"/>
          <w:sz w:val="18"/>
          <w:szCs w:val="18"/>
        </w:rPr>
        <w:t xml:space="preserve">VIOLATIONFLOW</w:t>
      </w:r>
    </w:p>
    <w:p>
      <w:pPr>
        <w:pBdr>
          <w:bottom w:val="single" w:color="E7E9E8" w:sz="4" w:space="6"/>
        </w:pBdr>
        <w:spacing w:after="360"/>
      </w:pPr>
      <w:r>
        <w:rPr>
          <w:b/>
          <w:bCs/>
          <w:color w:val="1C2327"/>
          <w:sz w:val="40"/>
          <w:szCs w:val="40"/>
        </w:rPr>
        <w:t xml:space="preserve">Fining-Authority Verification Checklist</w:t>
      </w:r>
    </w:p>
    <w:p>
      <w:pPr>
        <w:spacing w:after="160"/>
      </w:pPr>
      <w:r>
        <w:rPr>
          <w:color w:val="4E525A"/>
          <w:sz w:val="22"/>
          <w:szCs w:val="22"/>
        </w:rPr>
        <w:t xml:space="preserve">Work through this checklist with your recorded declaration (CC&amp;Rs), your bylaws, any recorded amendments, and your state statute side by side. The goal is not just a yes or no, but a written record of the exact clause or statute your fine policy rests on.</w:t>
      </w:r>
    </w:p>
    <w:p>
      <w:pPr>
        <w:spacing w:after="60"/>
      </w:pPr>
      <w:r>
        <w:rPr>
          <w:b/>
          <w:bCs/>
          <w:color w:val="1C2327"/>
          <w:sz w:val="22"/>
          <w:szCs w:val="22"/>
        </w:rPr>
        <w:t xml:space="preserve">Association name:  </w:t>
      </w:r>
      <w:r>
        <w:rPr>
          <w:color w:val="4E525A"/>
          <w:sz w:val="22"/>
          <w:szCs w:val="22"/>
        </w:rPr>
        <w:t xml:space="preserve">________________________________________________________</w:t>
      </w:r>
    </w:p>
    <w:p>
      <w:pPr>
        <w:spacing w:after="60"/>
      </w:pPr>
      <w:r>
        <w:rPr>
          <w:b/>
          <w:bCs/>
          <w:color w:val="1C2327"/>
          <w:sz w:val="22"/>
          <w:szCs w:val="22"/>
        </w:rPr>
        <w:t xml:space="preserve">Reviewed by:  </w:t>
      </w:r>
      <w:r>
        <w:rPr>
          <w:color w:val="4E525A"/>
          <w:sz w:val="22"/>
          <w:szCs w:val="22"/>
        </w:rPr>
        <w:t xml:space="preserve">________________________________________________________</w:t>
      </w:r>
    </w:p>
    <w:p>
      <w:pPr>
        <w:spacing w:after="60"/>
      </w:pPr>
      <w:r>
        <w:rPr>
          <w:b/>
          <w:bCs/>
          <w:color w:val="1C2327"/>
          <w:sz w:val="22"/>
          <w:szCs w:val="22"/>
        </w:rPr>
        <w:t xml:space="preserve">Date of review:  </w:t>
      </w:r>
      <w:r>
        <w:rPr>
          <w:color w:val="4E525A"/>
          <w:sz w:val="22"/>
          <w:szCs w:val="22"/>
        </w:rPr>
        <w:t xml:space="preserve">________________________________________________________</w:t>
      </w:r>
    </w:p>
    <w:p>
      <w:pPr>
        <w:spacing w:after="140" w:before="280"/>
      </w:pPr>
      <w:r>
        <w:rPr>
          <w:b/>
          <w:bCs/>
          <w:color w:val="1C2327"/>
          <w:sz w:val="26"/>
          <w:szCs w:val="26"/>
        </w:rPr>
        <w:t xml:space="preserve">Where to look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Declaration (CC&amp;Rs): the article titled "Enforcement," "Remedies," "Default," or "Powers of the Association" (often near the end)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Bylaws: the board powers article and any "Rules and Regulations" section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Recorded amendments -- a fining grant is sometimes added later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Your state's HOA or common-interest statute</w:t>
      </w:r>
    </w:p>
    <w:p>
      <w:pPr>
        <w:spacing w:after="140" w:before="280"/>
      </w:pPr>
      <w:r>
        <w:rPr>
          <w:b/>
          <w:bCs/>
          <w:color w:val="1C2327"/>
          <w:sz w:val="26"/>
          <w:szCs w:val="26"/>
        </w:rPr>
        <w:t xml:space="preserve">Language that grants fining power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"The Board may levy fines / monetary penalties / sanctions..."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"...impose reasonable fines for violation of this Declaration or the Rules"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"...discipline members," "member discipline," "schedule of penalties"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A general grant to "adopt rules and regulations for the management of the development" -- commonly read to support a penalty schedule, but confirm with counsel before relying on it</w:t>
      </w:r>
    </w:p>
    <w:p>
      <w:pPr>
        <w:spacing w:after="140" w:before="280"/>
      </w:pPr>
      <w:r>
        <w:rPr>
          <w:b/>
          <w:bCs/>
          <w:color w:val="1C2327"/>
          <w:sz w:val="26"/>
          <w:szCs w:val="26"/>
        </w:rPr>
        <w:t xml:space="preserve">Language that does not grant fining power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Authority only to "enforce by proceedings at law or in equity" (that is a right to sue, not a right to fine)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Authority to recover costs and attorney's fees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A lien for unpaid assessments (fines are not assessments unless the documents say so)</w:t>
      </w:r>
    </w:p>
    <w:p>
      <w:pPr>
        <w:spacing w:after="140" w:before="280"/>
      </w:pPr>
      <w:r>
        <w:rPr>
          <w:b/>
          <w:bCs/>
          <w:color w:val="1C2327"/>
          <w:sz w:val="26"/>
          <w:szCs w:val="26"/>
        </w:rPr>
        <w:t xml:space="preserve">What silence means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No fine language + no statutory grant in your state = the board cannot impose monetary penalties until the documents are amended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No fine language + a statutory grant (e.g., FL, AZ, CO, NV, NC, VA, WA) = fining may still be possible, but only within the statute's caps and hearing procedures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When in doubt, get a written opinion from association counsel before the first fine -- not after the first challenge</w:t>
      </w:r>
    </w:p>
    <w:p>
      <w:pPr>
        <w:spacing w:after="140" w:before="280"/>
      </w:pPr>
      <w:r>
        <w:rPr>
          <w:b/>
          <w:bCs/>
          <w:color w:val="1C2327"/>
          <w:sz w:val="26"/>
          <w:szCs w:val="26"/>
        </w:rPr>
        <w:t xml:space="preserve">What we found</w:t>
      </w:r>
    </w:p>
    <w:p>
      <w:pPr>
        <w:spacing w:after="60"/>
      </w:pPr>
      <w:r>
        <w:rPr>
          <w:b/>
          <w:bCs/>
          <w:color w:val="1C2327"/>
          <w:sz w:val="22"/>
          <w:szCs w:val="22"/>
        </w:rPr>
        <w:t xml:space="preserve">Exact clause or statute relied on:  </w:t>
      </w:r>
      <w:r>
        <w:rPr>
          <w:color w:val="4E525A"/>
          <w:sz w:val="22"/>
          <w:szCs w:val="22"/>
        </w:rPr>
        <w:t xml:space="preserve">________________________________________________________</w:t>
      </w:r>
    </w:p>
    <w:p>
      <w:pPr>
        <w:spacing w:after="140"/>
      </w:pPr>
      <w:r>
        <w:rPr>
          <w:i/>
          <w:iCs/>
          <w:color w:val="4E525A"/>
          <w:sz w:val="17"/>
          <w:szCs w:val="17"/>
        </w:rPr>
        <w:t xml:space="preserve">Quote the language and cite the article/section</w:t>
      </w:r>
    </w:p>
    <w:p>
      <w:pPr>
        <w:spacing w:after="60"/>
      </w:pPr>
      <w:r>
        <w:rPr>
          <w:b/>
          <w:bCs/>
          <w:color w:val="1C2327"/>
          <w:sz w:val="22"/>
          <w:szCs w:val="22"/>
        </w:rPr>
        <w:t xml:space="preserve">Applicable statutory caps or hearing requirements:  </w:t>
      </w:r>
      <w:r>
        <w:rPr>
          <w:color w:val="4E525A"/>
          <w:sz w:val="22"/>
          <w:szCs w:val="22"/>
        </w:rPr>
        <w:t xml:space="preserve">________________________________________________________</w:t>
      </w:r>
    </w:p>
    <w:p>
      <w:pPr>
        <w:spacing w:after="40" w:before="320"/>
      </w:pPr>
      <w:r>
        <w:rPr>
          <w:color w:val="1C2327"/>
          <w:sz w:val="22"/>
          <w:szCs w:val="22"/>
        </w:rPr>
        <w:t xml:space="preserve">________________________________________</w:t>
      </w:r>
    </w:p>
    <w:p>
      <w:pPr>
        <w:spacing w:after="160"/>
      </w:pPr>
      <w:r>
        <w:rPr>
          <w:color w:val="4E525A"/>
          <w:sz w:val="18"/>
          <w:szCs w:val="18"/>
        </w:rPr>
        <w:t xml:space="preserve">Completed by (board member)</w:t>
      </w:r>
    </w:p>
    <w:p>
      <w:pPr>
        <w:spacing w:before="480"/>
        <w:jc w:val="center"/>
      </w:pPr>
      <w:r>
        <w:rPr>
          <w:color w:val="4E525A"/>
          <w:sz w:val="16"/>
          <w:szCs w:val="16"/>
        </w:rPr>
        <w:t xml:space="preserve">ViolationFlow — free template from https://violationflow.homes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2026-07-16T21:56:25.503Z</dcterms:created>
  <dcterms:modified xsi:type="dcterms:W3CDTF">2026-07-16T21:56:25.503Z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