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color w:val="236757"/>
          <w:sz w:val="18"/>
          <w:szCs w:val="18"/>
        </w:rPr>
        <w:t xml:space="preserve">VIOLATIONFLOW</w:t>
      </w:r>
    </w:p>
    <w:p>
      <w:pPr>
        <w:pBdr>
          <w:bottom w:val="single" w:color="E7E9E8" w:sz="4" w:space="6"/>
        </w:pBdr>
        <w:spacing w:after="360"/>
      </w:pPr>
      <w:r>
        <w:rPr>
          <w:b/>
          <w:bCs/>
          <w:color w:val="1C2327"/>
          <w:sz w:val="40"/>
          <w:szCs w:val="40"/>
        </w:rPr>
        <w:t xml:space="preserve">Fine Schedule Compliance Check</w:t>
      </w:r>
    </w:p>
    <w:p>
      <w:pPr>
        <w:spacing w:after="160"/>
      </w:pPr>
      <w:r>
        <w:rPr>
          <w:color w:val="4E525A"/>
          <w:sz w:val="22"/>
          <w:szCs w:val="22"/>
        </w:rPr>
        <w:t xml:space="preserve">Run this check once a year, ideally at the same meeting where you review insurance and reserve items. Statutory citations are in the state table of the accompanying guide; verify current statutory text before relying on any figure.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Association name: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Date of review: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Reviewed by: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Ceiling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Read your state's current statute yourself (citations in the state table of the guide)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Every amount in the schedule is at or below the statutory per-violation cap, if one exists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Per-day fines respect any daily cap and any maximum duration (e.g. Virginia: $10/day, no more than 90 days)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Aggregate totals for a single violation stay under any aggregate ceiling (e.g. Florida and Nevada: $1,000)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Authority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The CC&amp;Rs or bylaws actually grant fining power (essential in Georgia; worth confirming everywhere)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The schedule was adopted by board vote and recorded in the minutes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The adopted schedule has been furnished to all owners (a statutory requirement in Washington)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Process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Notice template states the violation, the amount at stake, and the cure deadline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Hearing rights are offered before any fine is final, with the notice period your statute requires (14 days in Florida and Virginia; Texas owners may request a hearing up to 30 days after the notice is mailed)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Cure periods meet statutory minimums (Colorado: 30 days, or 72 hours for health/safety)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Health/safety exceptions are documented in writing when used (California: written finding at an open meeting)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Where required, the fine is approved by the right body (Florida: majority vote of a three-member non-officer committee)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Consistency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One schedule, applied to every lot, without exceptions for anyone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Every notice, hearing, cure period, and fine is logged with dates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A calendar date is set to re-run this checklist next year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Date of next annual review: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before="480"/>
        <w:jc w:val="center"/>
      </w:pPr>
      <w:r>
        <w:rPr>
          <w:color w:val="4E525A"/>
          <w:sz w:val="16"/>
          <w:szCs w:val="16"/>
        </w:rPr>
        <w:t xml:space="preserve">ViolationFlow — free template from https://violationflow.homes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2026-07-16T21:56:25.263Z</dcterms:created>
  <dcterms:modified xsi:type="dcterms:W3CDTF">2026-07-16T21:56:25.264Z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